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6437D1" w:rsidRDefault="00CE50D4">
      <w:pPr>
        <w:spacing w:before="200" w:after="80"/>
      </w:pPr>
      <w:r>
        <w:rPr>
          <w:b/>
          <w:bCs/>
          <w:color w:val="1F3864"/>
          <w:sz w:val="44"/>
          <w:szCs w:val="44"/>
        </w:rPr>
        <w:t>WDI 2026 Topic Scoring Criteria</w:t>
      </w:r>
    </w:p>
    <w:p w14:paraId="506BB674" w14:textId="77777777" w:rsidR="006437D1" w:rsidRDefault="00CE50D4">
      <w:pPr>
        <w:spacing w:after="300"/>
      </w:pPr>
      <w:r>
        <w:rPr>
          <w:b/>
          <w:bCs/>
          <w:color w:val="2E75B6"/>
          <w:sz w:val="36"/>
          <w:szCs w:val="36"/>
        </w:rPr>
        <w:t>Topic 2: Board Performance</w:t>
      </w:r>
    </w:p>
    <w:p w14:paraId="672A6659" w14:textId="77777777" w:rsidR="006437D1" w:rsidRDefault="006437D1">
      <w:pPr>
        <w:pBdr>
          <w:bottom w:val="single" w:sz="4" w:space="1" w:color="D9D9D9"/>
        </w:pBdr>
        <w:spacing w:before="240" w:after="240"/>
      </w:pPr>
    </w:p>
    <w:p w14:paraId="043D9F99" w14:textId="77777777" w:rsidR="006437D1" w:rsidRDefault="0C7824D2" w:rsidP="0C7824D2">
      <w:pPr>
        <w:pStyle w:val="Heading1"/>
        <w:spacing w:before="360" w:after="160"/>
        <w:rPr>
          <w:b/>
          <w:bCs/>
          <w:color w:val="1F3864"/>
          <w:sz w:val="34"/>
          <w:szCs w:val="34"/>
        </w:rPr>
      </w:pPr>
      <w:r w:rsidRPr="0C7824D2">
        <w:rPr>
          <w:b/>
          <w:bCs/>
          <w:color w:val="1F3864"/>
          <w:sz w:val="34"/>
          <w:szCs w:val="34"/>
        </w:rPr>
        <w:t>1. Topic Overview</w:t>
      </w:r>
    </w:p>
    <w:p w14:paraId="6D4C51AE" w14:textId="77777777" w:rsidR="006437D1" w:rsidRDefault="0C7824D2">
      <w:pPr>
        <w:spacing w:before="80" w:after="80"/>
      </w:pPr>
      <w:r w:rsidRPr="0C7824D2">
        <w:rPr>
          <w:color w:val="1A1A1A"/>
          <w:lang w:val="en-US"/>
        </w:rPr>
        <w:t xml:space="preserve">This topic assesses how the company builds and evaluates the workforce expertise of those with governance responsibility, and how it links the performance of governance bodies to workforce-related targets and incentives. It builds directly on Topic 1 (Governance Structure), which identifies which bodies have </w:t>
      </w:r>
      <w:proofErr w:type="gramStart"/>
      <w:r w:rsidRPr="0C7824D2">
        <w:rPr>
          <w:color w:val="1A1A1A"/>
          <w:lang w:val="en-US"/>
        </w:rPr>
        <w:t>oversight —</w:t>
      </w:r>
      <w:proofErr w:type="gramEnd"/>
      <w:r w:rsidRPr="0C7824D2">
        <w:rPr>
          <w:color w:val="1A1A1A"/>
          <w:lang w:val="en-US"/>
        </w:rPr>
        <w:t xml:space="preserve"> Topic 2 examines how those bodies are equipped and held accountable.</w:t>
      </w:r>
    </w:p>
    <w:p w14:paraId="218DDD84" w14:textId="77777777" w:rsidR="006437D1" w:rsidRDefault="00CE50D4">
      <w:pPr>
        <w:spacing w:before="80" w:after="80"/>
      </w:pPr>
      <w:r>
        <w:rPr>
          <w:color w:val="1A1A1A"/>
        </w:rPr>
        <w:t>The topic is scored using two questions, both always applicable: Q1.3 (Board expertise: gap identification, access to expertise, and one concrete example; text 300 words) and Q1.4 (performance assessment and remuneration incentives for governance roles on workforce matters; text 300 words). Q1.B and Q1.C are excluded from scoring.</w:t>
      </w:r>
    </w:p>
    <w:p w14:paraId="657CB9F9" w14:textId="77777777" w:rsidR="006437D1" w:rsidRDefault="00CE50D4">
      <w:pPr>
        <w:pStyle w:val="Heading2"/>
        <w:spacing w:before="280" w:after="120"/>
      </w:pPr>
      <w:r>
        <w:rPr>
          <w:b/>
          <w:bCs/>
          <w:color w:val="2E75B6"/>
        </w:rPr>
        <w:t>No Awareness Dimension</w:t>
      </w:r>
    </w:p>
    <w:p w14:paraId="206CD7EF" w14:textId="77777777" w:rsidR="006437D1" w:rsidRDefault="0C7824D2">
      <w:pPr>
        <w:spacing w:before="80" w:after="80"/>
      </w:pPr>
      <w:r w:rsidRPr="0C7824D2">
        <w:rPr>
          <w:color w:val="1A1A1A"/>
          <w:lang w:val="en-US"/>
        </w:rPr>
        <w:t xml:space="preserve">The 3A evidence columns confirm Awareness = (none identified) for both questions. This topic does not ask companies to </w:t>
      </w:r>
      <w:proofErr w:type="spellStart"/>
      <w:r w:rsidRPr="0C7824D2">
        <w:rPr>
          <w:color w:val="1A1A1A"/>
          <w:lang w:val="en-US"/>
        </w:rPr>
        <w:t>recognise</w:t>
      </w:r>
      <w:proofErr w:type="spellEnd"/>
      <w:r w:rsidRPr="0C7824D2">
        <w:rPr>
          <w:color w:val="1A1A1A"/>
          <w:lang w:val="en-US"/>
        </w:rPr>
        <w:t xml:space="preserve"> whether expertise or performance systems exist (that would be </w:t>
      </w:r>
      <w:proofErr w:type="gramStart"/>
      <w:r w:rsidRPr="0C7824D2">
        <w:rPr>
          <w:color w:val="1A1A1A"/>
          <w:lang w:val="en-US"/>
        </w:rPr>
        <w:t>Awareness) —</w:t>
      </w:r>
      <w:proofErr w:type="gramEnd"/>
      <w:r w:rsidRPr="0C7824D2">
        <w:rPr>
          <w:color w:val="1A1A1A"/>
          <w:lang w:val="en-US"/>
        </w:rPr>
        <w:t xml:space="preserve"> it asks directly how they work and what evidence they produce. Both questions are tagged Approach | Action only. This is a two-dimension topic with equal 50% weight per dimension.</w:t>
      </w:r>
    </w:p>
    <w:p w14:paraId="68313972" w14:textId="77777777" w:rsidR="006437D1" w:rsidRDefault="00CE50D4">
      <w:pPr>
        <w:pStyle w:val="Heading2"/>
        <w:spacing w:before="280" w:after="120"/>
      </w:pPr>
      <w:r>
        <w:rPr>
          <w:b/>
          <w:bCs/>
          <w:color w:val="2E75B6"/>
        </w:rPr>
        <w:t>How Q1.3 and Q1.4 Split Across Dimensions</w:t>
      </w:r>
    </w:p>
    <w:p w14:paraId="38AD8ECC" w14:textId="77777777" w:rsidR="006437D1" w:rsidRDefault="0C7824D2">
      <w:pPr>
        <w:spacing w:before="80" w:after="80"/>
      </w:pPr>
      <w:r w:rsidRPr="0C7824D2">
        <w:rPr>
          <w:color w:val="1A1A1A"/>
          <w:lang w:val="en-US"/>
        </w:rPr>
        <w:t>Both questions contribute to both Approach and Action, but through different elements within each question. In Q1.3: the description of how gaps are identified and how expertise access is facilitated (including through engagement with workers and trade unions) = Approach; the single concrete example requested in the question text = Action. In Q1.4: the design of the performance assessment and remuneration incentive system (which roles are covered, how assessed, what KPIs, qualitative/quantitative split, how compensation is affected, weighting, achievement determination) = Approach; the G2 evidence of how the system has operated in practice (actual KPI outcomes, achievement evidence, effectiveness evidence) = Action.</w:t>
      </w:r>
    </w:p>
    <w:p w14:paraId="499DABAE" w14:textId="77777777" w:rsidR="006437D1" w:rsidRDefault="00CE50D4">
      <w:pPr>
        <w:pStyle w:val="Heading2"/>
        <w:spacing w:before="280" w:after="120"/>
      </w:pPr>
      <w:r>
        <w:rPr>
          <w:b/>
          <w:bCs/>
          <w:color w:val="2E75B6"/>
        </w:rPr>
        <w:t>3A Dimension Mapping</w:t>
      </w:r>
    </w:p>
    <w:p w14:paraId="1A4BE13A" w14:textId="77777777" w:rsidR="006437D1" w:rsidRDefault="0C7824D2">
      <w:pPr>
        <w:spacing w:before="80" w:after="80"/>
      </w:pPr>
      <w:r w:rsidRPr="0C7824D2">
        <w:rPr>
          <w:color w:val="1A1A1A"/>
          <w:lang w:val="en-US"/>
        </w:rPr>
        <w:t xml:space="preserve">Approach: Q1.3 G1 elements — how the company identifies gaps in Board members’ workforce expertise; how it facilitates access to additional information and expertise, including through engagement with workers and their representatives including trade unions; G2 — how the company assesses whether actions to improve expertise have been successful, including any KPIs. Q1.4 G1 elements — which Board members, committees, or executive positions are subject to performance assessment or remuneration incentives linked to workforce matters; how performance is assessed; the workforce-related targets, objectives, or KPIs used; whether qualitative, quantitative or both; how performance affects compensation/remuneration; the weighting or proportion of workforce measures within compensation; how the company determines whether performance has been achieved including thresholds, scorecards, or review processes. Action: Q1.3 question text — ‘provide one example of how the company has ensured sufficient expertise for those with governance </w:t>
      </w:r>
      <w:proofErr w:type="gramStart"/>
      <w:r w:rsidRPr="0C7824D2">
        <w:rPr>
          <w:color w:val="1A1A1A"/>
          <w:lang w:val="en-US"/>
        </w:rPr>
        <w:t>responsibilities’</w:t>
      </w:r>
      <w:proofErr w:type="gramEnd"/>
      <w:r w:rsidRPr="0C7824D2">
        <w:rPr>
          <w:color w:val="1A1A1A"/>
          <w:lang w:val="en-US"/>
        </w:rPr>
        <w:t xml:space="preserve"> = a concrete, specific instance. Q1.4 G2 — how workforce-related performance assessment and remuneration incentives operate in practice, including KPIs, weighting, achievement criteria, and evidence of effectiveness.</w:t>
      </w:r>
    </w:p>
    <w:p w14:paraId="775580A0" w14:textId="77777777" w:rsidR="006437D1" w:rsidRDefault="00CE50D4">
      <w:pPr>
        <w:spacing w:before="80" w:after="60"/>
      </w:pPr>
      <w:r>
        <w:rPr>
          <w:i/>
          <w:iCs/>
          <w:color w:val="666666"/>
          <w:sz w:val="17"/>
          <w:szCs w:val="17"/>
        </w:rPr>
        <w:t>Q1.B (Notes on Board performance) and Q1.C (Notes on Delegating authority) are excluded from scoring.</w:t>
      </w:r>
    </w:p>
    <w:p w14:paraId="0A37501D" w14:textId="77777777" w:rsidR="006437D1" w:rsidRDefault="006437D1">
      <w:pPr>
        <w:pBdr>
          <w:bottom w:val="single" w:sz="4" w:space="1" w:color="D9D9D9"/>
        </w:pBdr>
        <w:spacing w:before="240" w:after="240"/>
      </w:pPr>
    </w:p>
    <w:p w14:paraId="3736FDB2" w14:textId="77777777" w:rsidR="006437D1" w:rsidRDefault="00CE50D4">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40"/>
        <w:gridCol w:w="5040"/>
      </w:tblGrid>
      <w:tr w:rsidR="006437D1" w14:paraId="49FAC5D6" w14:textId="77777777" w:rsidTr="0C7824D2">
        <w:tblPrEx>
          <w:tblCellMar>
            <w:top w:w="0" w:type="dxa"/>
            <w:bottom w:w="0" w:type="dxa"/>
          </w:tblCellMar>
        </w:tblPrEx>
        <w:trPr>
          <w:tblHeader/>
        </w:trPr>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6437D1" w:rsidRDefault="00CE50D4">
            <w:pPr>
              <w:jc w:val="center"/>
            </w:pPr>
            <w:r>
              <w:rPr>
                <w:b/>
                <w:bCs/>
                <w:color w:val="FFFFFF"/>
                <w:sz w:val="17"/>
                <w:szCs w:val="17"/>
              </w:rPr>
              <w:lastRenderedPageBreak/>
              <w:t>APPROACH</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6437D1" w:rsidRDefault="00CE50D4">
            <w:pPr>
              <w:jc w:val="center"/>
            </w:pPr>
            <w:r>
              <w:rPr>
                <w:b/>
                <w:bCs/>
                <w:color w:val="FFFFFF"/>
                <w:sz w:val="17"/>
                <w:szCs w:val="17"/>
              </w:rPr>
              <w:t>ACTION</w:t>
            </w:r>
          </w:p>
        </w:tc>
      </w:tr>
      <w:tr w:rsidR="006437D1" w14:paraId="2B0BA875" w14:textId="77777777" w:rsidTr="0C7824D2">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5985801" w14:textId="77777777" w:rsidR="006437D1" w:rsidRDefault="0C7824D2">
            <w:pPr>
              <w:spacing w:before="20" w:after="20"/>
            </w:pPr>
            <w:r w:rsidRPr="0C7824D2">
              <w:rPr>
                <w:color w:val="1A1A1A"/>
                <w:sz w:val="18"/>
                <w:szCs w:val="18"/>
                <w:lang w:val="en-US"/>
              </w:rPr>
              <w:t xml:space="preserve">Approach is assessed from two sources: Q1.3 process elements (always) and Q1.4 system design elements (always).  Q1.3 Approach elements: the governance and process for building Board workforce expertise. G1 asks for: (1) how the company identifies any gaps in Board members’ workforce expertise; (2) how the company facilitates Board member access to additional information and expertise on workforce topics, including through engagement with workers themselves and their representatives including trade unions. G2 adds: (3) how the company assesses whether actions taken to improve Board member expertise on workforce issues have been successful, including any KPIs used.  Q1.4 Approach elements: the design of the performance assessment and incentive system for governance roles. G1 asks for: (1) which Board members, Board committees, and/or executive management positions with governance responsibility for workforce matters are subject to performance assessment and/or remuneration incentives; (2) how the performance of those individuals or bodies is assessed in relation to their workforce-related responsibilities; (3) the workforce-related targets, objectives, or non-financial KPIs used to assess performance, including a brief description of what is measured; (4) whether those targets or KPIs are qualitative, quantitative, or a combination; (5) how performance against those targets or KPIs affects compensation, remuneration, or other incentive arrangements; (6) the weighting, proportion, or relative significance of workforce-related measures within relevant compensation or remuneration schemes; (7) how the company determines whether performance has been achieved, including any relevant thresholds, scorecards, or review processes.  OR and </w:t>
            </w:r>
            <w:proofErr w:type="spellStart"/>
            <w:r w:rsidRPr="0C7824D2">
              <w:rPr>
                <w:color w:val="1A1A1A"/>
                <w:sz w:val="18"/>
                <w:szCs w:val="18"/>
                <w:lang w:val="en-US"/>
              </w:rPr>
              <w:t>AND</w:t>
            </w:r>
            <w:proofErr w:type="spellEnd"/>
            <w:r w:rsidRPr="0C7824D2">
              <w:rPr>
                <w:color w:val="1A1A1A"/>
                <w:sz w:val="18"/>
                <w:szCs w:val="18"/>
                <w:lang w:val="en-US"/>
              </w:rPr>
              <w:t xml:space="preserve"> logic: either source providing partial content reaches lower levels (OR). Score 5 requires AND: Q1.3 addresses gap identification AND expertise access AND Q1.4 covers the majority of the seven G1 design elements.  Primary evidence: completeness and specificity of Q1.3 process description; breadth of Q1.4 system design elements addressed.</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9153863" w14:textId="77777777" w:rsidR="006437D1" w:rsidRDefault="0C7824D2">
            <w:pPr>
              <w:spacing w:before="20" w:after="20"/>
            </w:pPr>
            <w:r w:rsidRPr="0C7824D2">
              <w:rPr>
                <w:color w:val="1A1A1A"/>
                <w:sz w:val="18"/>
                <w:szCs w:val="18"/>
                <w:lang w:val="en-US"/>
              </w:rPr>
              <w:t xml:space="preserve">Action is assessed from two sources: Q1.3 concrete example (always) and Q1.4 G2 evidence of practice (always).  Q1.3 Action element: the question text explicitly requests ‘one example of how the company has ensured sufficient expertise for those with governance responsibilities.’ This must be a specific, named instance — not a restatement of the general process. Examples could include: a specific Board training session on a named workforce topic with named participants and date; a worker engagement session with Board members and the topics discussed; an external expert brought in to brief the Remuneration Committee on pay equity; a Board site visit with worker interaction. The example must be concrete and traceable, not generic.  Q1.4 Action element: G2 asks for evidence of how workforce-related performance assessment and remuneration incentives operate in practice — specifically: KPIs achieved/not achieved; weighting applied in a remuneration cycle; achievement criteria used; and evidence of effectiveness (did the incentive system result in improved governance or workforce outcomes?). This is evidence that the performance assessment system has </w:t>
            </w:r>
            <w:proofErr w:type="gramStart"/>
            <w:r w:rsidRPr="0C7824D2">
              <w:rPr>
                <w:color w:val="1A1A1A"/>
                <w:sz w:val="18"/>
                <w:szCs w:val="18"/>
                <w:lang w:val="en-US"/>
              </w:rPr>
              <w:t>actually run</w:t>
            </w:r>
            <w:proofErr w:type="gramEnd"/>
            <w:r w:rsidRPr="0C7824D2">
              <w:rPr>
                <w:color w:val="1A1A1A"/>
                <w:sz w:val="18"/>
                <w:szCs w:val="18"/>
                <w:lang w:val="en-US"/>
              </w:rPr>
              <w:t xml:space="preserve">, not just that it is designed.  OR </w:t>
            </w:r>
            <w:proofErr w:type="gramStart"/>
            <w:r w:rsidRPr="0C7824D2">
              <w:rPr>
                <w:color w:val="1A1A1A"/>
                <w:sz w:val="18"/>
                <w:szCs w:val="18"/>
                <w:lang w:val="en-US"/>
              </w:rPr>
              <w:t xml:space="preserve">and </w:t>
            </w:r>
            <w:proofErr w:type="spellStart"/>
            <w:r w:rsidRPr="0C7824D2">
              <w:rPr>
                <w:color w:val="1A1A1A"/>
                <w:sz w:val="18"/>
                <w:szCs w:val="18"/>
                <w:lang w:val="en-US"/>
              </w:rPr>
              <w:t>AND</w:t>
            </w:r>
            <w:proofErr w:type="spellEnd"/>
            <w:proofErr w:type="gramEnd"/>
            <w:r w:rsidRPr="0C7824D2">
              <w:rPr>
                <w:color w:val="1A1A1A"/>
                <w:sz w:val="18"/>
                <w:szCs w:val="18"/>
                <w:lang w:val="en-US"/>
              </w:rPr>
              <w:t xml:space="preserve"> logic: either source providing concrete evidence reaches lower levels (OR). Score 5 requires AND: Q1.3 provides a specific, named example with sufficient detail AND Q1.4 G2 describes how the performance system has operated in practice with actual KPI or achievement evidence.  Primary evidence: specificity and concreteness of Q1.3 example; Q1.4 G2 practical operation evidence including KPI outcomes or effectiveness evidence.</w:t>
            </w:r>
          </w:p>
        </w:tc>
      </w:tr>
    </w:tbl>
    <w:p w14:paraId="5DAB6C7B" w14:textId="77777777" w:rsidR="006437D1" w:rsidRDefault="006437D1">
      <w:pPr>
        <w:pBdr>
          <w:bottom w:val="single" w:sz="4" w:space="1" w:color="D9D9D9"/>
        </w:pBdr>
        <w:spacing w:before="240" w:after="240"/>
      </w:pPr>
    </w:p>
    <w:p w14:paraId="6E9172E9" w14:textId="77777777" w:rsidR="006437D1" w:rsidRDefault="00CE50D4">
      <w:pPr>
        <w:pStyle w:val="Heading1"/>
        <w:spacing w:before="360" w:after="160"/>
      </w:pPr>
      <w:r>
        <w:rPr>
          <w:b/>
          <w:bCs/>
          <w:color w:val="1F3864"/>
          <w:sz w:val="34"/>
          <w:szCs w:val="34"/>
        </w:rPr>
        <w:t>3. Scoring Rubric — All Dimensions</w:t>
      </w:r>
    </w:p>
    <w:p w14:paraId="08A837B3" w14:textId="77777777" w:rsidR="006437D1" w:rsidRDefault="0C7824D2">
      <w:pPr>
        <w:spacing w:before="80" w:after="60"/>
      </w:pPr>
      <w:r w:rsidRPr="0C7824D2">
        <w:rPr>
          <w:i/>
          <w:iCs/>
          <w:color w:val="666666"/>
          <w:sz w:val="17"/>
          <w:szCs w:val="17"/>
          <w:lang w:val="en-US"/>
        </w:rPr>
        <w:t>No Awareness dimension. Approach uses 0,1,2,3,5. Action uses 0,1,2,3,5. Both questions always applicable. OR across Q1.3 and Q1.4 at lower levels; AND at score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0"/>
        <w:gridCol w:w="1190"/>
        <w:gridCol w:w="677"/>
        <w:gridCol w:w="1185"/>
        <w:gridCol w:w="3682"/>
        <w:gridCol w:w="2686"/>
      </w:tblGrid>
      <w:tr w:rsidR="006437D1" w14:paraId="09CC2D0F" w14:textId="77777777" w:rsidTr="0C7824D2">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6437D1" w:rsidRDefault="00CE50D4">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6437D1" w:rsidRDefault="00CE50D4">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6437D1" w:rsidRDefault="00CE50D4">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6437D1" w:rsidRDefault="00CE50D4">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6437D1" w:rsidRDefault="00CE50D4">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6437D1" w:rsidRDefault="00CE50D4">
            <w:pPr>
              <w:jc w:val="center"/>
            </w:pPr>
            <w:r>
              <w:rPr>
                <w:b/>
                <w:bCs/>
                <w:color w:val="FFFFFF"/>
                <w:sz w:val="15"/>
                <w:szCs w:val="15"/>
              </w:rPr>
              <w:t>Next Step</w:t>
            </w:r>
          </w:p>
        </w:tc>
      </w:tr>
      <w:tr w:rsidR="006437D1" w14:paraId="17A02878"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8F999B5"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6437D1" w:rsidRDefault="00CE50D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84315" w14:textId="77777777" w:rsidR="006437D1" w:rsidRDefault="00CE50D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6437D1" w:rsidRDefault="00CE50D4">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B076C0" w14:textId="77777777" w:rsidR="006437D1" w:rsidRDefault="0C7824D2">
            <w:pPr>
              <w:spacing w:before="20" w:after="20"/>
            </w:pPr>
            <w:r w:rsidRPr="0C7824D2">
              <w:rPr>
                <w:color w:val="1A1A1A"/>
                <w:sz w:val="18"/>
                <w:szCs w:val="18"/>
                <w:lang w:val="en-US"/>
              </w:rPr>
              <w:t xml:space="preserve">AND across both sources: Q1.3 is blank (no description of how Board workforce expertise is built or maintained) AND Q1.4 is blank (no description of how governance performance on workforce matters is assessed or </w:t>
            </w:r>
            <w:proofErr w:type="spellStart"/>
            <w:r w:rsidRPr="0C7824D2">
              <w:rPr>
                <w:color w:val="1A1A1A"/>
                <w:sz w:val="18"/>
                <w:szCs w:val="18"/>
                <w:lang w:val="en-US"/>
              </w:rPr>
              <w:t>incentivised</w:t>
            </w:r>
            <w:proofErr w:type="spellEnd"/>
            <w:r w:rsidRPr="0C7824D2">
              <w:rPr>
                <w:color w:val="1A1A1A"/>
                <w:sz w:val="18"/>
                <w:szCs w:val="18"/>
                <w:lang w:val="en-US"/>
              </w:rPr>
              <w:t>). No governance capability or accountability framework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86F2458" w14:textId="77777777" w:rsidR="006437D1" w:rsidRDefault="0C7824D2">
            <w:pPr>
              <w:spacing w:before="20" w:after="20"/>
            </w:pPr>
            <w:r w:rsidRPr="0C7824D2">
              <w:rPr>
                <w:i/>
                <w:iCs/>
                <w:color w:val="1A1A1A"/>
                <w:sz w:val="17"/>
                <w:szCs w:val="17"/>
                <w:lang w:val="en-US"/>
              </w:rPr>
              <w:t>In Q1.3, describe at minimum how the company identifies gaps in Board members’ workforce expertise and one mechanism through which additional expertise is accessed. In Q1.4, identify which governance roles are subject to any performance assessment linked to workforce matters.</w:t>
            </w:r>
          </w:p>
        </w:tc>
      </w:tr>
      <w:tr w:rsidR="006437D1" w14:paraId="607FA41F"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144751B" w14:textId="77777777" w:rsidR="006437D1" w:rsidRDefault="00CE50D4">
            <w:pPr>
              <w:spacing w:before="20" w:after="20"/>
              <w:jc w:val="center"/>
            </w:pPr>
            <w:r>
              <w:rPr>
                <w:b/>
                <w:bCs/>
                <w:color w:val="1A1A1A"/>
                <w:sz w:val="17"/>
                <w:szCs w:val="17"/>
              </w:rPr>
              <w:lastRenderedPageBreak/>
              <w:t>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6437D1" w:rsidRDefault="00CE50D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6437D1" w:rsidRDefault="00CE50D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6437D1" w:rsidRDefault="00CE50D4">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DD11D0" w14:textId="77777777" w:rsidR="006437D1" w:rsidRDefault="00CE50D4">
            <w:pPr>
              <w:spacing w:before="20" w:after="20"/>
            </w:pPr>
            <w:r>
              <w:rPr>
                <w:color w:val="1A1A1A"/>
                <w:sz w:val="18"/>
                <w:szCs w:val="18"/>
              </w:rPr>
              <w:t>OR across sources: Q1.3 mentions that Board members receive training on workforce matters, without describing the gap identification process, the format, or how effectiveness is assessed; OR Q1.4 names which roles are subject to workforce-related performance assessment but provides no further description of how assessment works, what KPIs are used, or how it affects remuneration. Minimal but some governance capability or accountability signal.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D320F48" w14:textId="77777777" w:rsidR="006437D1" w:rsidRDefault="0C7824D2">
            <w:pPr>
              <w:spacing w:before="20" w:after="20"/>
            </w:pPr>
            <w:r w:rsidRPr="0C7824D2">
              <w:rPr>
                <w:i/>
                <w:iCs/>
                <w:color w:val="1A1A1A"/>
                <w:sz w:val="17"/>
                <w:szCs w:val="17"/>
                <w:lang w:val="en-US"/>
              </w:rPr>
              <w:t>In Q1.3, add how the company identifies gaps in Board expertise (e.g., skills matrix, annual review, self-assessment) and how access to additional expertise is facilitated (e.g., external briefings, worker engagement sessions, union consultation). In Q1.4, describe the specific workforce-related KPIs or objectives used and how they affect compensation.</w:t>
            </w:r>
          </w:p>
        </w:tc>
      </w:tr>
      <w:tr w:rsidR="006437D1" w14:paraId="7278415B"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8E884CA"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6437D1" w:rsidRDefault="00CE50D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842F596" w14:textId="77777777" w:rsidR="006437D1" w:rsidRDefault="00CE50D4">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467F2F" w14:textId="77777777" w:rsidR="006437D1" w:rsidRDefault="00CE50D4">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FC2BBBA" w14:textId="77777777" w:rsidR="006437D1" w:rsidRDefault="0C7824D2">
            <w:pPr>
              <w:spacing w:before="20" w:after="20"/>
            </w:pPr>
            <w:r w:rsidRPr="0C7824D2">
              <w:rPr>
                <w:color w:val="1A1A1A"/>
                <w:sz w:val="18"/>
                <w:szCs w:val="18"/>
                <w:lang w:val="en-US"/>
              </w:rPr>
              <w:t>OR across sources: Q1.3 describes how gaps in Board expertise are identified AND describes at least one mechanism for facilitating access to expertise, but without addressing worker/trade union engagement or G2 effectiveness assessment; OR Q1.4 names the roles covered AND describes the performance assessment process AND names some KPIs or objectives, but without describing how performance affects compensation or the weighting within remuneration. One source reasonably addressed but the other thin.</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B2FA540" w14:textId="77777777" w:rsidR="006437D1" w:rsidRDefault="0C7824D2">
            <w:pPr>
              <w:spacing w:before="20" w:after="20"/>
            </w:pPr>
            <w:r w:rsidRPr="0C7824D2">
              <w:rPr>
                <w:i/>
                <w:iCs/>
                <w:color w:val="1A1A1A"/>
                <w:sz w:val="17"/>
                <w:szCs w:val="17"/>
                <w:lang w:val="en-US"/>
              </w:rPr>
              <w:t>In Q1.3, describe whether and how worker engagement or trade union consultation contributes to Board members’ expertise on workforce matters. In Q1.4, add how performance against KPIs affects remuneration or other incentive arrangements, the weighting of workforce measures within compensation, and how the company determines whether performance targets have been achieved.</w:t>
            </w:r>
          </w:p>
        </w:tc>
      </w:tr>
      <w:tr w:rsidR="006437D1" w14:paraId="0D7035A4"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CC21B90"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6437D1" w:rsidRDefault="00CE50D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FCD5EC4" w14:textId="77777777" w:rsidR="006437D1" w:rsidRDefault="00CE50D4">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3B13D" w14:textId="77777777" w:rsidR="006437D1" w:rsidRDefault="00CE50D4">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C867ADE" w14:textId="77777777" w:rsidR="006437D1" w:rsidRDefault="0C7824D2">
            <w:pPr>
              <w:spacing w:before="20" w:after="20"/>
            </w:pPr>
            <w:r w:rsidRPr="0C7824D2">
              <w:rPr>
                <w:color w:val="1A1A1A"/>
                <w:sz w:val="18"/>
                <w:szCs w:val="18"/>
                <w:lang w:val="en-US"/>
              </w:rPr>
              <w:t>OR across sources: Q1.3 addresses all three G1/G2 process elements (gap identification, access mechanisms including worker/union engagement, and effectiveness assessment) with reasonable specificity; OR Q1.4 covers at least four of the seven G1 design elements with reasonable specificity (e.g., which roles are covered, how assessed, what KPIs, and how performance affects compensation). Either source at this depth independently reaches score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8A18ACC" w14:textId="77777777" w:rsidR="006437D1" w:rsidRDefault="0C7824D2">
            <w:pPr>
              <w:spacing w:before="20" w:after="20"/>
            </w:pPr>
            <w:r w:rsidRPr="0C7824D2">
              <w:rPr>
                <w:i/>
                <w:iCs/>
                <w:color w:val="1A1A1A"/>
                <w:sz w:val="17"/>
                <w:szCs w:val="17"/>
                <w:lang w:val="en-US"/>
              </w:rPr>
              <w:t>For score 5 (AND): Q1.3 must fully address gap identification, access mechanisms (including worker/union engagement), and G2 effectiveness assessment AND Q1.4 must address the majority of all seven G1 design elements including weighting within compensation schemes and how achievement is determined.</w:t>
            </w:r>
          </w:p>
        </w:tc>
      </w:tr>
      <w:tr w:rsidR="006437D1" w14:paraId="21B22554"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38328F9"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999CD79" w14:textId="77777777" w:rsidR="006437D1" w:rsidRDefault="00CE50D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8941E47" w14:textId="77777777" w:rsidR="006437D1" w:rsidRDefault="00CE50D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6437D1" w:rsidRDefault="00CE50D4">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C7E3797" w14:textId="77777777" w:rsidR="006437D1" w:rsidRDefault="00CE50D4">
            <w:pPr>
              <w:spacing w:before="20" w:after="20"/>
            </w:pPr>
            <w:r>
              <w:rPr>
                <w:color w:val="1A1A1A"/>
                <w:sz w:val="18"/>
                <w:szCs w:val="18"/>
              </w:rPr>
              <w:t>AND across both sources: Q1.3 must describe (1) how Board expertise gaps are identified; (2) how access to additional expertise is facilitated, including specifically through engagement with workers and/or their representatives including trade unions; AND (3) G2: how the company assesses whether actions to improve expertise have been successful, including any KPIs used. Q1.4 must address the majority of the seven G1 elements: which roles are covered; how performance is assessed; the workforce-related KPIs/t</w:t>
            </w:r>
            <w:r>
              <w:rPr>
                <w:color w:val="1A1A1A"/>
                <w:sz w:val="18"/>
                <w:szCs w:val="18"/>
              </w:rPr>
              <w:t>argets; whether qualitative/quantitative; how performance affects compensation; the weighting of workforce measures; and how achievement is determined including thresholds or scorecards.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453AB0B" w14:textId="77777777" w:rsidR="006437D1" w:rsidRDefault="00CE50D4">
            <w:pPr>
              <w:spacing w:before="20" w:after="20"/>
            </w:pPr>
            <w:r>
              <w:rPr>
                <w:i/>
                <w:iCs/>
                <w:color w:val="1A1A1A"/>
                <w:sz w:val="17"/>
                <w:szCs w:val="17"/>
              </w:rPr>
              <w:t>Highest level achieved. Maintain comprehensive Board capability and accountability documentation and update as governance structures evolve.</w:t>
            </w:r>
          </w:p>
        </w:tc>
      </w:tr>
      <w:tr w:rsidR="006437D1" w14:paraId="7C62ABBC"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4B6C890" w14:textId="77777777" w:rsidR="006437D1" w:rsidRDefault="00CE50D4">
            <w:pPr>
              <w:spacing w:before="20" w:after="20"/>
              <w:jc w:val="center"/>
            </w:pPr>
            <w:r>
              <w:rPr>
                <w:b/>
                <w:bCs/>
                <w:color w:val="1A1A1A"/>
                <w:sz w:val="17"/>
                <w:szCs w:val="17"/>
              </w:rPr>
              <w:lastRenderedPageBreak/>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6437D1" w:rsidRDefault="00CE50D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322F001" w14:textId="77777777" w:rsidR="006437D1" w:rsidRDefault="00CE50D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6437D1" w:rsidRDefault="00CE50D4">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3B0C6A2" w14:textId="77777777" w:rsidR="006437D1" w:rsidRDefault="00CE50D4">
            <w:pPr>
              <w:spacing w:before="20" w:after="20"/>
            </w:pPr>
            <w:r>
              <w:rPr>
                <w:color w:val="1A1A1A"/>
                <w:sz w:val="18"/>
                <w:szCs w:val="18"/>
              </w:rPr>
              <w:t xml:space="preserve">AND across both sources: Q1.3 provides no concrete example of how expertise has been ensured (the general process description may exist under Approach, but no specific named instance is given); AND Q1.4 G2 provides no evidence of how the performance system has </w:t>
            </w:r>
            <w:proofErr w:type="gramStart"/>
            <w:r>
              <w:rPr>
                <w:color w:val="1A1A1A"/>
                <w:sz w:val="18"/>
                <w:szCs w:val="18"/>
              </w:rPr>
              <w:t>actually operated</w:t>
            </w:r>
            <w:proofErr w:type="gramEnd"/>
            <w:r>
              <w:rPr>
                <w:color w:val="1A1A1A"/>
                <w:sz w:val="18"/>
                <w:szCs w:val="18"/>
              </w:rPr>
              <w:t xml:space="preserve"> in practice. No implemented governance capability or accountability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5208A4A" w14:textId="77777777" w:rsidR="006437D1" w:rsidRDefault="0C7824D2">
            <w:pPr>
              <w:spacing w:before="20" w:after="20"/>
            </w:pPr>
            <w:r w:rsidRPr="0C7824D2">
              <w:rPr>
                <w:i/>
                <w:iCs/>
                <w:color w:val="1A1A1A"/>
                <w:sz w:val="17"/>
                <w:szCs w:val="17"/>
                <w:lang w:val="en-US"/>
              </w:rPr>
              <w:t>In Q1.3, provide one specific, named example of how the company has ensured sufficient expertise for those with governance responsibility — name the activity, the participants, and the workforce topic addressed. In Q1.4, describe how the performance assessment system operated in the most recent cycle — which KPIs were reviewed, what was achieved, and what happened in compensation as a result.</w:t>
            </w:r>
          </w:p>
        </w:tc>
      </w:tr>
      <w:tr w:rsidR="006437D1" w14:paraId="40983908"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8A8CB7E"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6437D1" w:rsidRDefault="00CE50D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6437D1" w:rsidRDefault="00CE50D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6437D1" w:rsidRDefault="00CE50D4">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62FCEA5" w14:textId="77777777" w:rsidR="006437D1" w:rsidRDefault="0C7824D2">
            <w:pPr>
              <w:spacing w:before="20" w:after="20"/>
            </w:pPr>
            <w:r w:rsidRPr="0C7824D2">
              <w:rPr>
                <w:color w:val="1A1A1A"/>
                <w:sz w:val="18"/>
                <w:szCs w:val="18"/>
                <w:lang w:val="en-US"/>
              </w:rPr>
              <w:t>OR across sources: Q1.3 provides a brief example (e.g., ‘Board members attended a training session on workforce matters’) without naming the topic, participants, or date — too generic to be a traceable instance; OR Q1.4 G2 mentions that performance assessments have been conducted without providing any KPI, outcome, or achievement detail. Some evidence that the systems have operated but without sufficient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1B9F90A" w14:textId="77777777" w:rsidR="006437D1" w:rsidRDefault="00CE50D4">
            <w:pPr>
              <w:spacing w:before="20" w:after="20"/>
            </w:pPr>
            <w:r>
              <w:rPr>
                <w:i/>
                <w:iCs/>
                <w:color w:val="1A1A1A"/>
                <w:sz w:val="17"/>
                <w:szCs w:val="17"/>
              </w:rPr>
              <w:t>In Q1.3, make the example specific: name the workforce topic covered, when the activity occurred, who participated, and what the activity involved (e.g., ‘In Q3 2024, the Remuneration Committee Chair attended a worker listening session with 12 warehouse employees to discuss pay equity concerns’). In Q1.4 G2, name at least one KPI that was assessed in the last performance cycle and state whether it was achieved.</w:t>
            </w:r>
          </w:p>
        </w:tc>
      </w:tr>
      <w:tr w:rsidR="006437D1" w14:paraId="59B33911"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E643A39"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6437D1" w:rsidRDefault="00CE50D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A9DB5E7" w14:textId="77777777" w:rsidR="006437D1" w:rsidRDefault="00CE50D4">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0C62899" w14:textId="77777777" w:rsidR="006437D1" w:rsidRDefault="00CE50D4">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73D0863" w14:textId="77777777" w:rsidR="006437D1" w:rsidRDefault="0C7824D2">
            <w:pPr>
              <w:spacing w:before="20" w:after="20"/>
            </w:pPr>
            <w:r w:rsidRPr="0C7824D2">
              <w:rPr>
                <w:color w:val="1A1A1A"/>
                <w:sz w:val="18"/>
                <w:szCs w:val="18"/>
                <w:lang w:val="en-US"/>
              </w:rPr>
              <w:t>OR across sources: Q1.3 provides a specific example with the activity named and described, but without stating participants or outcome; OR Q1.4 G2 describes how the performance system operated in practice (names a KPI assessed and whether it was met) but without describing the weighting applied in the compensation outcome. One source provides a reasonably specific but incomplete instance.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04E877D" w14:textId="77777777" w:rsidR="006437D1" w:rsidRDefault="0C7824D2">
            <w:pPr>
              <w:spacing w:before="20" w:after="20"/>
            </w:pPr>
            <w:r w:rsidRPr="0C7824D2">
              <w:rPr>
                <w:i/>
                <w:iCs/>
                <w:color w:val="1A1A1A"/>
                <w:sz w:val="17"/>
                <w:szCs w:val="17"/>
                <w:lang w:val="en-US"/>
              </w:rPr>
              <w:t>In Q1.3, add who participated in the expertise-building activity and what the outcome or effect was. In Q1.4 G2, describe the compensation outcome — what proportion of variable pay was affected by the workforce KPI result, and how the assessment determined whether the threshold was met.</w:t>
            </w:r>
          </w:p>
        </w:tc>
      </w:tr>
      <w:tr w:rsidR="006437D1" w14:paraId="5B9161AE"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BC03362"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6437D1" w:rsidRDefault="00CE50D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778152" w14:textId="77777777" w:rsidR="006437D1" w:rsidRDefault="00CE50D4">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1656D2" w14:textId="77777777" w:rsidR="006437D1" w:rsidRDefault="00CE50D4">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37DA9D9" w14:textId="77777777" w:rsidR="006437D1" w:rsidRDefault="0C7824D2">
            <w:pPr>
              <w:spacing w:before="20" w:after="20"/>
            </w:pPr>
            <w:r w:rsidRPr="0C7824D2">
              <w:rPr>
                <w:color w:val="1A1A1A"/>
                <w:sz w:val="18"/>
                <w:szCs w:val="18"/>
                <w:lang w:val="en-US"/>
              </w:rPr>
              <w:t>OR across sources: Q1.3 provides a specific, traceable example — naming the activity, workforce topic, participants, and date — that demonstrates a concrete step taken to ensure governance expertise; OR Q1.4 G2 describes how the performance assessment system operated in practice, naming at least one workforce KPI assessed, whether it was achieved, and the consequence for compensation or incentive arrangements. Either source at this specificity independently reaches score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8E18A0F" w14:textId="77777777" w:rsidR="006437D1" w:rsidRDefault="0C7824D2">
            <w:pPr>
              <w:spacing w:before="20" w:after="20"/>
            </w:pPr>
            <w:r w:rsidRPr="0C7824D2">
              <w:rPr>
                <w:i/>
                <w:iCs/>
                <w:color w:val="1A1A1A"/>
                <w:sz w:val="17"/>
                <w:szCs w:val="17"/>
                <w:lang w:val="en-US"/>
              </w:rPr>
              <w:t xml:space="preserve">For score 5 (AND): Q1.3 must provide a specific example </w:t>
            </w:r>
            <w:proofErr w:type="gramStart"/>
            <w:r w:rsidRPr="0C7824D2">
              <w:rPr>
                <w:i/>
                <w:iCs/>
                <w:color w:val="1A1A1A"/>
                <w:sz w:val="17"/>
                <w:szCs w:val="17"/>
                <w:lang w:val="en-US"/>
              </w:rPr>
              <w:t>with</w:t>
            </w:r>
            <w:proofErr w:type="gramEnd"/>
            <w:r w:rsidRPr="0C7824D2">
              <w:rPr>
                <w:i/>
                <w:iCs/>
                <w:color w:val="1A1A1A"/>
                <w:sz w:val="17"/>
                <w:szCs w:val="17"/>
                <w:lang w:val="en-US"/>
              </w:rPr>
              <w:t xml:space="preserve"> activity, topic, participants, and date AND some indication of what the activity achieved or contributed. Q1.4 G2 must describe actual KPI performance, compensation impact, and evidence of effectiveness of the incentive system.</w:t>
            </w:r>
          </w:p>
        </w:tc>
      </w:tr>
      <w:tr w:rsidR="006437D1" w14:paraId="79F60714" w14:textId="77777777" w:rsidTr="0C7824D2">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DED8E9" w14:textId="77777777" w:rsidR="006437D1" w:rsidRDefault="00CE50D4">
            <w:pPr>
              <w:spacing w:before="20" w:after="20"/>
              <w:jc w:val="center"/>
            </w:pPr>
            <w:r>
              <w:rPr>
                <w:b/>
                <w:bCs/>
                <w:color w:val="1A1A1A"/>
                <w:sz w:val="17"/>
                <w:szCs w:val="17"/>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F06B1F4" w14:textId="77777777" w:rsidR="006437D1" w:rsidRDefault="00CE50D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240AAE" w14:textId="77777777" w:rsidR="006437D1" w:rsidRDefault="00CE50D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041FF9" w14:textId="77777777" w:rsidR="006437D1" w:rsidRDefault="00CE50D4">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5470532" w14:textId="77777777" w:rsidR="006437D1" w:rsidRDefault="0C7824D2">
            <w:pPr>
              <w:spacing w:before="20" w:after="20"/>
            </w:pPr>
            <w:r w:rsidRPr="0C7824D2">
              <w:rPr>
                <w:color w:val="1A1A1A"/>
                <w:sz w:val="18"/>
                <w:szCs w:val="18"/>
                <w:lang w:val="en-US"/>
              </w:rPr>
              <w:t xml:space="preserve">AND across both sources: Q1.3 must provide a specific, named example of how the company ensured governance expertise, including: the activity or mechanism used; the workforce topic(s) addressed; the participants; and either the date or the reporting period in which it </w:t>
            </w:r>
            <w:r w:rsidRPr="0C7824D2">
              <w:rPr>
                <w:color w:val="1A1A1A"/>
                <w:sz w:val="18"/>
                <w:szCs w:val="18"/>
                <w:lang w:val="en-US"/>
              </w:rPr>
              <w:lastRenderedPageBreak/>
              <w:t xml:space="preserve">occurred. Q1.4 G2 must provide evidence that the performance assessment and remuneration incentive system has operated in practice, </w:t>
            </w:r>
            <w:proofErr w:type="gramStart"/>
            <w:r w:rsidRPr="0C7824D2">
              <w:rPr>
                <w:color w:val="1A1A1A"/>
                <w:sz w:val="18"/>
                <w:szCs w:val="18"/>
                <w:lang w:val="en-US"/>
              </w:rPr>
              <w:t>including:</w:t>
            </w:r>
            <w:proofErr w:type="gramEnd"/>
            <w:r w:rsidRPr="0C7824D2">
              <w:rPr>
                <w:color w:val="1A1A1A"/>
                <w:sz w:val="18"/>
                <w:szCs w:val="18"/>
                <w:lang w:val="en-US"/>
              </w:rPr>
              <w:t xml:space="preserve"> at least one workforce-related KPI or objective assessed in the most recent cycle; the achievement outcome (met/not met/partially met); and how this affected compensation, remuneration, or incentive arrangements.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FD87BC5" w14:textId="77777777" w:rsidR="006437D1" w:rsidRDefault="0C7824D2">
            <w:pPr>
              <w:spacing w:before="20" w:after="20"/>
            </w:pPr>
            <w:r w:rsidRPr="0C7824D2">
              <w:rPr>
                <w:i/>
                <w:iCs/>
                <w:color w:val="1A1A1A"/>
                <w:sz w:val="17"/>
                <w:szCs w:val="17"/>
                <w:lang w:val="en-US"/>
              </w:rPr>
              <w:lastRenderedPageBreak/>
              <w:t>Highest level achieved. Continue documenting specific expertise-building activities and remuneration cycle outcomes annually.</w:t>
            </w:r>
          </w:p>
        </w:tc>
      </w:tr>
    </w:tbl>
    <w:p w14:paraId="02EB378F" w14:textId="77777777" w:rsidR="006437D1" w:rsidRDefault="006437D1">
      <w:pPr>
        <w:pBdr>
          <w:bottom w:val="single" w:sz="4" w:space="1" w:color="D9D9D9"/>
        </w:pBdr>
        <w:spacing w:before="240" w:after="240"/>
      </w:pPr>
    </w:p>
    <w:p w14:paraId="0BD2FA26" w14:textId="77777777" w:rsidR="006437D1" w:rsidRDefault="00CE50D4">
      <w:pPr>
        <w:pStyle w:val="Heading1"/>
        <w:spacing w:before="360" w:after="160"/>
      </w:pPr>
      <w:r>
        <w:rPr>
          <w:b/>
          <w:bCs/>
          <w:color w:val="1F3864"/>
          <w:sz w:val="34"/>
          <w:szCs w:val="34"/>
        </w:rPr>
        <w:t>4. Score Calculation</w:t>
      </w:r>
    </w:p>
    <w:p w14:paraId="7CA356E2" w14:textId="77777777" w:rsidR="006437D1" w:rsidRDefault="00CE50D4">
      <w:pPr>
        <w:spacing w:before="80" w:after="80"/>
      </w:pPr>
      <w:r>
        <w:rPr>
          <w:color w:val="1A1A1A"/>
        </w:rPr>
        <w:t>Once Approach and Action sub-scores are assigned, the composite topic score is calculated using equal weighting across the two dimensions.</w:t>
      </w:r>
    </w:p>
    <w:p w14:paraId="65FFD978" w14:textId="77777777" w:rsidR="006437D1" w:rsidRDefault="0C7824D2">
      <w:pPr>
        <w:pStyle w:val="Heading2"/>
        <w:spacing w:before="280" w:after="120"/>
      </w:pPr>
      <w:proofErr w:type="gramStart"/>
      <w:r w:rsidRPr="0C7824D2">
        <w:rPr>
          <w:b/>
          <w:bCs/>
          <w:color w:val="2E75B6"/>
          <w:lang w:val="en-US"/>
        </w:rPr>
        <w:t>4.1  Formulas</w:t>
      </w:r>
      <w:proofErr w:type="gramEnd"/>
    </w:p>
    <w:p w14:paraId="4457B8B3" w14:textId="77777777" w:rsidR="006437D1" w:rsidRDefault="0C7824D2" w:rsidP="0C7824D2">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sidRPr="0C7824D2">
        <w:rPr>
          <w:rFonts w:ascii="Courier New" w:eastAsia="Courier New" w:hAnsi="Courier New" w:cs="Courier New"/>
          <w:b/>
          <w:bCs/>
          <w:color w:val="1F3864"/>
          <w:lang w:val="en-US"/>
        </w:rPr>
        <w:t>Composite (0–5)   =</w:t>
      </w:r>
      <w:proofErr w:type="gramStart"/>
      <w:r w:rsidRPr="0C7824D2">
        <w:rPr>
          <w:rFonts w:ascii="Courier New" w:eastAsia="Courier New" w:hAnsi="Courier New" w:cs="Courier New"/>
          <w:b/>
          <w:bCs/>
          <w:color w:val="1F3864"/>
          <w:lang w:val="en-US"/>
        </w:rPr>
        <w:t xml:space="preserve">   (Approach  +</w:t>
      </w:r>
      <w:proofErr w:type="gramEnd"/>
      <w:r w:rsidRPr="0C7824D2">
        <w:rPr>
          <w:rFonts w:ascii="Courier New" w:eastAsia="Courier New" w:hAnsi="Courier New" w:cs="Courier New"/>
          <w:b/>
          <w:bCs/>
          <w:color w:val="1F3864"/>
          <w:lang w:val="en-US"/>
        </w:rPr>
        <w:t xml:space="preserve">  </w:t>
      </w:r>
      <w:proofErr w:type="gramStart"/>
      <w:r w:rsidRPr="0C7824D2">
        <w:rPr>
          <w:rFonts w:ascii="Courier New" w:eastAsia="Courier New" w:hAnsi="Courier New" w:cs="Courier New"/>
          <w:b/>
          <w:bCs/>
          <w:color w:val="1F3864"/>
          <w:lang w:val="en-US"/>
        </w:rPr>
        <w:t>Action)  ÷</w:t>
      </w:r>
      <w:proofErr w:type="gramEnd"/>
      <w:r w:rsidRPr="0C7824D2">
        <w:rPr>
          <w:rFonts w:ascii="Courier New" w:eastAsia="Courier New" w:hAnsi="Courier New" w:cs="Courier New"/>
          <w:b/>
          <w:bCs/>
          <w:color w:val="1F3864"/>
          <w:lang w:val="en-US"/>
        </w:rPr>
        <w:t xml:space="preserve">  2</w:t>
      </w:r>
    </w:p>
    <w:p w14:paraId="3FCA8DB3" w14:textId="77777777" w:rsidR="006437D1" w:rsidRDefault="0C7824D2" w:rsidP="0C7824D2">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sidRPr="0C7824D2">
        <w:rPr>
          <w:rFonts w:ascii="Courier New" w:eastAsia="Courier New" w:hAnsi="Courier New" w:cs="Courier New"/>
          <w:b/>
          <w:bCs/>
          <w:color w:val="1F3864"/>
          <w:lang w:val="en-US"/>
        </w:rPr>
        <w:t>Topic Score (0–100)   =   Composite (0–5</w:t>
      </w:r>
      <w:proofErr w:type="gramStart"/>
      <w:r w:rsidRPr="0C7824D2">
        <w:rPr>
          <w:rFonts w:ascii="Courier New" w:eastAsia="Courier New" w:hAnsi="Courier New" w:cs="Courier New"/>
          <w:b/>
          <w:bCs/>
          <w:color w:val="1F3864"/>
          <w:lang w:val="en-US"/>
        </w:rPr>
        <w:t>)  ×</w:t>
      </w:r>
      <w:proofErr w:type="gramEnd"/>
      <w:r w:rsidRPr="0C7824D2">
        <w:rPr>
          <w:rFonts w:ascii="Courier New" w:eastAsia="Courier New" w:hAnsi="Courier New" w:cs="Courier New"/>
          <w:b/>
          <w:bCs/>
          <w:color w:val="1F3864"/>
          <w:lang w:val="en-US"/>
        </w:rPr>
        <w:t xml:space="preserve">  20</w:t>
      </w:r>
    </w:p>
    <w:p w14:paraId="1187EE00" w14:textId="77777777" w:rsidR="006437D1" w:rsidRDefault="0C7824D2">
      <w:pPr>
        <w:spacing w:before="80" w:after="60"/>
      </w:pPr>
      <w:r w:rsidRPr="0C7824D2">
        <w:rPr>
          <w:i/>
          <w:iCs/>
          <w:color w:val="666666"/>
          <w:sz w:val="17"/>
          <w:szCs w:val="17"/>
          <w:lang w:val="en-US"/>
        </w:rPr>
        <w:t xml:space="preserve">All reported topic scores are on the 0–100 scale. Each dimension carries equal weight (50%). No Awareness dimension. Both questions </w:t>
      </w:r>
      <w:proofErr w:type="gramStart"/>
      <w:r w:rsidRPr="0C7824D2">
        <w:rPr>
          <w:i/>
          <w:iCs/>
          <w:color w:val="666666"/>
          <w:sz w:val="17"/>
          <w:szCs w:val="17"/>
          <w:lang w:val="en-US"/>
        </w:rPr>
        <w:t>always</w:t>
      </w:r>
      <w:proofErr w:type="gramEnd"/>
      <w:r w:rsidRPr="0C7824D2">
        <w:rPr>
          <w:i/>
          <w:iCs/>
          <w:color w:val="666666"/>
          <w:sz w:val="17"/>
          <w:szCs w:val="17"/>
          <w:lang w:val="en-US"/>
        </w:rPr>
        <w:t xml:space="preserve"> applicable.</w:t>
      </w:r>
    </w:p>
    <w:p w14:paraId="71DEDFB3" w14:textId="77777777" w:rsidR="006437D1" w:rsidRDefault="0C7824D2">
      <w:pPr>
        <w:pStyle w:val="Heading2"/>
        <w:spacing w:before="280" w:after="120"/>
      </w:pPr>
      <w:proofErr w:type="gramStart"/>
      <w:r w:rsidRPr="0C7824D2">
        <w:rPr>
          <w:b/>
          <w:bCs/>
          <w:color w:val="2E75B6"/>
          <w:lang w:val="en-US"/>
        </w:rPr>
        <w:t>4.2  Worked</w:t>
      </w:r>
      <w:proofErr w:type="gramEnd"/>
      <w:r w:rsidRPr="0C7824D2">
        <w:rPr>
          <w:b/>
          <w:bCs/>
          <w:color w:val="2E75B6"/>
          <w:lang w:val="en-US"/>
        </w:rPr>
        <w:t xml:space="preserve"> Examples</w:t>
      </w:r>
    </w:p>
    <w:p w14:paraId="4ABAC1A6" w14:textId="77777777" w:rsidR="006437D1" w:rsidRDefault="0C7824D2">
      <w:pPr>
        <w:spacing w:before="80" w:after="80"/>
      </w:pPr>
      <w:r w:rsidRPr="0C7824D2">
        <w:rPr>
          <w:b/>
          <w:bCs/>
          <w:color w:val="2E75B6"/>
          <w:lang w:val="en-US"/>
        </w:rPr>
        <w:t>Example A: Comprehensive Board expertise and incentive governance</w:t>
      </w:r>
    </w:p>
    <w:p w14:paraId="0DC344C9" w14:textId="77777777" w:rsidR="006437D1" w:rsidRDefault="0C7824D2">
      <w:pPr>
        <w:spacing w:before="80" w:after="80"/>
      </w:pPr>
      <w:r w:rsidRPr="0C7824D2">
        <w:rPr>
          <w:color w:val="1A1A1A"/>
          <w:sz w:val="19"/>
          <w:szCs w:val="19"/>
          <w:lang w:val="en-US"/>
        </w:rPr>
        <w:t xml:space="preserve">Q1.3: “Board workforce expertise gaps are identified through our annual Board Skills Matrix, which maps each member’s background against nine workforce competency areas including HR, </w:t>
      </w:r>
      <w:proofErr w:type="spellStart"/>
      <w:r w:rsidRPr="0C7824D2">
        <w:rPr>
          <w:color w:val="1A1A1A"/>
          <w:sz w:val="19"/>
          <w:szCs w:val="19"/>
          <w:lang w:val="en-US"/>
        </w:rPr>
        <w:t>labour</w:t>
      </w:r>
      <w:proofErr w:type="spellEnd"/>
      <w:r w:rsidRPr="0C7824D2">
        <w:rPr>
          <w:color w:val="1A1A1A"/>
          <w:sz w:val="19"/>
          <w:szCs w:val="19"/>
          <w:lang w:val="en-US"/>
        </w:rPr>
        <w:t xml:space="preserve"> rights, and OHS. Gaps are reviewed by the Nominations Committee in March each year. Access mechanisms include: (1) an annual workforce briefing from the CPO and external HR advisors delivered to the full Board in May; (2) quarterly worker listening sessions at which two non-executive directors rotate attendance (in 2024: Chair and SID attended sessions at our Birmingham and Glasgow facilities); (3) trade union consultation meetings — the Remuneration Committee Chair met with Unite and GMB representatives twice in 2024 on pay equity and the upcoming pay review. We assess effectiveness via our Board Evaluation, which includes a standalone question on workforce governance capability; 2024 results showed a 14-point improvement in Board members’ self-assessed confidence on </w:t>
      </w:r>
      <w:proofErr w:type="spellStart"/>
      <w:r w:rsidRPr="0C7824D2">
        <w:rPr>
          <w:color w:val="1A1A1A"/>
          <w:sz w:val="19"/>
          <w:szCs w:val="19"/>
          <w:lang w:val="en-US"/>
        </w:rPr>
        <w:t>labour</w:t>
      </w:r>
      <w:proofErr w:type="spellEnd"/>
      <w:r w:rsidRPr="0C7824D2">
        <w:rPr>
          <w:color w:val="1A1A1A"/>
          <w:sz w:val="19"/>
          <w:szCs w:val="19"/>
          <w:lang w:val="en-US"/>
        </w:rPr>
        <w:t xml:space="preserve"> rights topics vs 2023. Example: In September 2024, the full Board received a 2-hour briefing on modern slavery risks in our Tier 2 supply chain, delivered jointly by our Head of Responsible Sourcing and the Chartered Institute of Procurement &amp; Supply. Three subsequent Board questions at our Q4 audit led to a new supplier audit protocol being commissioned.”</w:t>
      </w:r>
    </w:p>
    <w:p w14:paraId="19CE4D19" w14:textId="77777777" w:rsidR="006437D1" w:rsidRDefault="0C7824D2">
      <w:pPr>
        <w:spacing w:before="80" w:after="80"/>
      </w:pPr>
      <w:r w:rsidRPr="0C7824D2">
        <w:rPr>
          <w:color w:val="1A1A1A"/>
          <w:sz w:val="19"/>
          <w:szCs w:val="19"/>
          <w:lang w:val="en-US"/>
        </w:rPr>
        <w:t xml:space="preserve">Q1.4: “The CPO, VP HR (direct ops), and VP Procurement are subject to annual performance assessment with workforce KPIs embedded in their scorecards. Relevant KPIs: (1) voluntary turnover rate (target ≤12%, actual 2024: </w:t>
      </w:r>
      <w:proofErr w:type="gramStart"/>
      <w:r w:rsidRPr="0C7824D2">
        <w:rPr>
          <w:color w:val="1A1A1A"/>
          <w:sz w:val="19"/>
          <w:szCs w:val="19"/>
          <w:lang w:val="en-US"/>
        </w:rPr>
        <w:t>11.8% —</w:t>
      </w:r>
      <w:proofErr w:type="gramEnd"/>
      <w:r w:rsidRPr="0C7824D2">
        <w:rPr>
          <w:color w:val="1A1A1A"/>
          <w:sz w:val="19"/>
          <w:szCs w:val="19"/>
          <w:lang w:val="en-US"/>
        </w:rPr>
        <w:t xml:space="preserve"> achieved); (2) gender pay gap improvement (target: close gap by 0.5pp, actual: 0.7pp improvement — exceeded); (3) supplier audit completion rate (target ≥80%, actual: </w:t>
      </w:r>
      <w:proofErr w:type="gramStart"/>
      <w:r w:rsidRPr="0C7824D2">
        <w:rPr>
          <w:color w:val="1A1A1A"/>
          <w:sz w:val="19"/>
          <w:szCs w:val="19"/>
          <w:lang w:val="en-US"/>
        </w:rPr>
        <w:t>74% —</w:t>
      </w:r>
      <w:proofErr w:type="gramEnd"/>
      <w:r w:rsidRPr="0C7824D2">
        <w:rPr>
          <w:color w:val="1A1A1A"/>
          <w:sz w:val="19"/>
          <w:szCs w:val="19"/>
          <w:lang w:val="en-US"/>
        </w:rPr>
        <w:t xml:space="preserve"> not achieved). Each KPI is quantitative. Workforce KPIs collectively represent 25% of the annual incentive scorecard for each of these roles. The Remuneration Committee reviews KPI outcomes in February and determines achievement via a balanced scorecard with no single KPI constituting more than 10% of the total incentive. In 2024, the CPO received 87% of the maximum incentive award; the not-achieved supplier audit KPI resulted in a 6% deduction from the workforce component. Evidence of effectiveness: voluntary turnover has fallen from 14.1% in 2022 to 11.8% in 2024, a period coinciding with the introduction of these workforce KPIs into executive pay.”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6437D1" w14:paraId="34392AC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6437D1" w:rsidRDefault="00CE50D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6437D1" w:rsidRDefault="00CE50D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6437D1" w:rsidRDefault="00CE50D4">
            <w:pPr>
              <w:jc w:val="center"/>
            </w:pPr>
            <w:r>
              <w:rPr>
                <w:b/>
                <w:bCs/>
                <w:color w:val="FFFFFF"/>
                <w:sz w:val="16"/>
                <w:szCs w:val="16"/>
              </w:rPr>
              <w:t>Calculation</w:t>
            </w:r>
          </w:p>
        </w:tc>
      </w:tr>
      <w:tr w:rsidR="006437D1" w14:paraId="50FBD0B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6437D1" w:rsidRDefault="00CE50D4">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722744" w14:textId="77777777" w:rsidR="006437D1" w:rsidRDefault="00CE50D4">
            <w:pPr>
              <w:spacing w:before="20" w:after="20"/>
            </w:pPr>
            <w:r>
              <w:rPr>
                <w:color w:val="1A1A1A"/>
                <w:sz w:val="18"/>
                <w:szCs w:val="18"/>
              </w:rPr>
              <w:t xml:space="preserve">5 (Leading) — AND satisfied: Q1.3 addresses all three Approach elements (annual Skills Matrix gap identification, </w:t>
            </w:r>
            <w:r>
              <w:rPr>
                <w:color w:val="1A1A1A"/>
                <w:sz w:val="18"/>
                <w:szCs w:val="18"/>
              </w:rPr>
              <w:lastRenderedPageBreak/>
              <w:t>three named access mechanisms including worker listening sessions and trade union consultation, G2 Board Evaluation effectiveness assessment with quantified improvement). Q1.4 covers all seven G1 design elements (CPO/VP HR/VP Procurement named, scorecard assessment process, three named KPIs with descriptions, quantitative, 25% incentive weighting, balanced scorecard achievement determination).</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A05A809" w14:textId="77777777" w:rsidR="006437D1" w:rsidRDefault="006437D1">
            <w:pPr>
              <w:spacing w:before="20" w:after="20"/>
            </w:pPr>
          </w:p>
        </w:tc>
      </w:tr>
      <w:tr w:rsidR="006437D1" w14:paraId="3B5045F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6437D1" w:rsidRDefault="00CE50D4">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76BA24C" w14:textId="77777777" w:rsidR="006437D1" w:rsidRDefault="00CE50D4">
            <w:pPr>
              <w:spacing w:before="20" w:after="20"/>
            </w:pPr>
            <w:r>
              <w:rPr>
                <w:color w:val="1A1A1A"/>
                <w:sz w:val="18"/>
                <w:szCs w:val="18"/>
              </w:rPr>
              <w:t>5 (Leading) — AND satisfied: Q1.3 example is fully specific (September 2024, full Board, 2-hour modern slavery briefing, CIPS + Head of Responsible Sourcing, named outcome: new audit protocol commissioned). Q1.4 G2 names three KPIs with actual 2024 outcomes (11.8% turnover — achieved; 0.7pp gender pay — exceeded; 74% supplier audit — not achieved), states 87% CPO award and 6% deduction, and provides longitudinal effectiveness evidence (turnover 14.1% to 11.8%).</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39BBE3" w14:textId="77777777" w:rsidR="006437D1" w:rsidRDefault="006437D1">
            <w:pPr>
              <w:spacing w:before="20" w:after="20"/>
            </w:pPr>
          </w:p>
        </w:tc>
      </w:tr>
      <w:tr w:rsidR="006437D1" w14:paraId="766EFA3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6437D1" w:rsidRDefault="00CE50D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6437D1" w:rsidRDefault="00CE50D4">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6437D1" w:rsidRDefault="00CE50D4">
            <w:pPr>
              <w:spacing w:before="20" w:after="20"/>
            </w:pPr>
            <w:r>
              <w:rPr>
                <w:b/>
                <w:bCs/>
                <w:color w:val="1A1A1A"/>
                <w:sz w:val="19"/>
                <w:szCs w:val="19"/>
              </w:rPr>
              <w:t>Topic Score = 5.00 × 20 = 100 / 100</w:t>
            </w:r>
          </w:p>
        </w:tc>
      </w:tr>
    </w:tbl>
    <w:p w14:paraId="37F89D21" w14:textId="77777777" w:rsidR="006437D1" w:rsidRDefault="00CE50D4">
      <w:pPr>
        <w:spacing w:before="80" w:after="60"/>
      </w:pPr>
      <w:r>
        <w:rPr>
          <w:i/>
          <w:iCs/>
          <w:color w:val="666666"/>
          <w:sz w:val="17"/>
          <w:szCs w:val="17"/>
        </w:rPr>
        <w:t>Full marks. Two details drive Action score 5: (1) the Q1.3 example names the specific date, topic, and the concrete governance outcome (new audit protocol); (2) Q1.4 G2 names actual KPI results with the compensation consequence (87% award, 6% deduction). Without these specifics, both sources would drop to score 3.</w:t>
      </w:r>
    </w:p>
    <w:p w14:paraId="2FA7A0FB" w14:textId="77777777" w:rsidR="006437D1" w:rsidRDefault="00CE50D4">
      <w:pPr>
        <w:spacing w:before="240" w:after="80"/>
      </w:pPr>
      <w:r>
        <w:rPr>
          <w:b/>
          <w:bCs/>
          <w:color w:val="2E75B6"/>
        </w:rPr>
        <w:t>Example B: Partial framework described, thin practical evidence</w:t>
      </w:r>
    </w:p>
    <w:p w14:paraId="10F5D54A" w14:textId="77777777" w:rsidR="006437D1" w:rsidRDefault="0C7824D2">
      <w:pPr>
        <w:spacing w:before="80" w:after="80"/>
      </w:pPr>
      <w:r w:rsidRPr="0C7824D2">
        <w:rPr>
          <w:color w:val="1A1A1A"/>
          <w:sz w:val="19"/>
          <w:szCs w:val="19"/>
          <w:lang w:val="en-US"/>
        </w:rPr>
        <w:t xml:space="preserve">Q1.3: “Board members receive training on workforce matters as part of our ongoing governance development </w:t>
      </w:r>
      <w:proofErr w:type="spellStart"/>
      <w:r w:rsidRPr="0C7824D2">
        <w:rPr>
          <w:color w:val="1A1A1A"/>
          <w:sz w:val="19"/>
          <w:szCs w:val="19"/>
          <w:lang w:val="en-US"/>
        </w:rPr>
        <w:t>programme</w:t>
      </w:r>
      <w:proofErr w:type="spellEnd"/>
      <w:r w:rsidRPr="0C7824D2">
        <w:rPr>
          <w:color w:val="1A1A1A"/>
          <w:sz w:val="19"/>
          <w:szCs w:val="19"/>
          <w:lang w:val="en-US"/>
        </w:rPr>
        <w:t xml:space="preserve">. We ensure that the Board has access to HR expertise through our Chief People Officer, who </w:t>
      </w:r>
      <w:proofErr w:type="gramStart"/>
      <w:r w:rsidRPr="0C7824D2">
        <w:rPr>
          <w:color w:val="1A1A1A"/>
          <w:sz w:val="19"/>
          <w:szCs w:val="19"/>
          <w:lang w:val="en-US"/>
        </w:rPr>
        <w:t>presents</w:t>
      </w:r>
      <w:proofErr w:type="gramEnd"/>
      <w:r w:rsidRPr="0C7824D2">
        <w:rPr>
          <w:color w:val="1A1A1A"/>
          <w:sz w:val="19"/>
          <w:szCs w:val="19"/>
          <w:lang w:val="en-US"/>
        </w:rPr>
        <w:t xml:space="preserve"> to the Board annually. We also conduct a Board Skills Review each year to identify any capability gaps.”</w:t>
      </w:r>
    </w:p>
    <w:p w14:paraId="74ECD083" w14:textId="77777777" w:rsidR="006437D1" w:rsidRDefault="00CE50D4">
      <w:pPr>
        <w:spacing w:before="80" w:after="80"/>
      </w:pPr>
      <w:r>
        <w:rPr>
          <w:color w:val="1A1A1A"/>
          <w:sz w:val="19"/>
          <w:szCs w:val="19"/>
        </w:rPr>
        <w:t>Q1.4: “Our executive team’s performance is linked to a range of financial and non-financial metrics, including some workforce-related measures. The CPO has workforce targets in their annual performance review. We use our engagement survey results and turnover rates as indicators of workforce performance.”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6437D1" w14:paraId="2B1DB986" w14:textId="77777777" w:rsidTr="0C7824D2">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6437D1" w:rsidRDefault="00CE50D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6437D1" w:rsidRDefault="00CE50D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6437D1" w:rsidRDefault="00CE50D4">
            <w:pPr>
              <w:jc w:val="center"/>
            </w:pPr>
            <w:r>
              <w:rPr>
                <w:b/>
                <w:bCs/>
                <w:color w:val="FFFFFF"/>
                <w:sz w:val="16"/>
                <w:szCs w:val="16"/>
              </w:rPr>
              <w:t>Calculation</w:t>
            </w:r>
          </w:p>
        </w:tc>
      </w:tr>
      <w:tr w:rsidR="006437D1" w14:paraId="4E03BD56" w14:textId="77777777" w:rsidTr="0C7824D2">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9ADA280" w14:textId="77777777" w:rsidR="006437D1" w:rsidRDefault="00CE50D4">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09F87DF" w14:textId="77777777" w:rsidR="006437D1" w:rsidRDefault="0C7824D2">
            <w:pPr>
              <w:spacing w:before="20" w:after="20"/>
            </w:pPr>
            <w:r w:rsidRPr="0C7824D2">
              <w:rPr>
                <w:color w:val="1A1A1A"/>
                <w:sz w:val="18"/>
                <w:szCs w:val="18"/>
                <w:lang w:val="en-US"/>
              </w:rPr>
              <w:t>2 (</w:t>
            </w:r>
            <w:proofErr w:type="gramStart"/>
            <w:r w:rsidRPr="0C7824D2">
              <w:rPr>
                <w:color w:val="1A1A1A"/>
                <w:sz w:val="18"/>
                <w:szCs w:val="18"/>
                <w:lang w:val="en-US"/>
              </w:rPr>
              <w:t>Basic) —</w:t>
            </w:r>
            <w:proofErr w:type="gramEnd"/>
            <w:r w:rsidRPr="0C7824D2">
              <w:rPr>
                <w:color w:val="1A1A1A"/>
                <w:sz w:val="18"/>
                <w:szCs w:val="18"/>
                <w:lang w:val="en-US"/>
              </w:rPr>
              <w:t xml:space="preserve"> Q1.3 names gap identification (Board Skills Review) AND one access mechanism (CPO annual presentation). But worker/union engagement is absent and no G2 effectiveness assessment is described. Q1.4 names the CPO as covered and two KPI areas (engagement survey, turnover) but without describing how assessment works, how performance affects compensation, weighting, or achievement criteria. OR: both sources partially addressed but neither reaches adequate standard.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1C8F396" w14:textId="77777777" w:rsidR="006437D1" w:rsidRDefault="006437D1">
            <w:pPr>
              <w:spacing w:before="20" w:after="20"/>
            </w:pPr>
          </w:p>
        </w:tc>
      </w:tr>
      <w:tr w:rsidR="006437D1" w14:paraId="1B1CF5C0" w14:textId="77777777" w:rsidTr="0C7824D2">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CFA25E" w14:textId="77777777" w:rsidR="006437D1" w:rsidRDefault="00CE50D4">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C878A8B" w14:textId="77777777" w:rsidR="006437D1" w:rsidRDefault="0C7824D2">
            <w:pPr>
              <w:spacing w:before="20" w:after="20"/>
            </w:pPr>
            <w:r w:rsidRPr="0C7824D2">
              <w:rPr>
                <w:color w:val="1A1A1A"/>
                <w:sz w:val="18"/>
                <w:szCs w:val="18"/>
                <w:lang w:val="en-US"/>
              </w:rPr>
              <w:t xml:space="preserve">0 (No </w:t>
            </w:r>
            <w:proofErr w:type="gramStart"/>
            <w:r w:rsidRPr="0C7824D2">
              <w:rPr>
                <w:color w:val="1A1A1A"/>
                <w:sz w:val="18"/>
                <w:szCs w:val="18"/>
                <w:lang w:val="en-US"/>
              </w:rPr>
              <w:t>Action) —</w:t>
            </w:r>
            <w:proofErr w:type="gramEnd"/>
            <w:r w:rsidRPr="0C7824D2">
              <w:rPr>
                <w:color w:val="1A1A1A"/>
                <w:sz w:val="18"/>
                <w:szCs w:val="18"/>
                <w:lang w:val="en-US"/>
              </w:rPr>
              <w:t xml:space="preserve"> Q1.3 provides no concrete example — the response describes general processes only, with no named specific instance of ensuring expertise. Q1.4 provides no G2 evidence of how the performance system has operated in practice — no KPI outcomes, no achievement results, no compensation consequences described. Both always-applicable Action sources are empty.</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2A3D3EC" w14:textId="77777777" w:rsidR="006437D1" w:rsidRDefault="006437D1">
            <w:pPr>
              <w:spacing w:before="20" w:after="20"/>
            </w:pPr>
          </w:p>
        </w:tc>
      </w:tr>
      <w:tr w:rsidR="006437D1" w14:paraId="4F982E35" w14:textId="77777777" w:rsidTr="0C7824D2">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6437D1" w:rsidRDefault="00CE50D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29C53C4" w14:textId="77777777" w:rsidR="006437D1" w:rsidRDefault="00CE50D4">
            <w:pPr>
              <w:spacing w:before="20" w:after="20"/>
            </w:pPr>
            <w:r>
              <w:rPr>
                <w:b/>
                <w:bCs/>
                <w:color w:val="1A1A1A"/>
                <w:sz w:val="19"/>
                <w:szCs w:val="19"/>
              </w:rPr>
              <w:t>(2 + 0) ÷ 2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D8CF19" w14:textId="77777777" w:rsidR="006437D1" w:rsidRDefault="00CE50D4">
            <w:pPr>
              <w:spacing w:before="20" w:after="20"/>
            </w:pPr>
            <w:r>
              <w:rPr>
                <w:b/>
                <w:bCs/>
                <w:color w:val="1A1A1A"/>
                <w:sz w:val="19"/>
                <w:szCs w:val="19"/>
              </w:rPr>
              <w:t>Topic Score = 1.00 × 20 = 20 / 100</w:t>
            </w:r>
          </w:p>
        </w:tc>
      </w:tr>
    </w:tbl>
    <w:p w14:paraId="7E0D7D2E" w14:textId="77777777" w:rsidR="006437D1" w:rsidRDefault="0C7824D2">
      <w:pPr>
        <w:spacing w:before="80" w:after="60"/>
      </w:pPr>
      <w:r w:rsidRPr="0C7824D2">
        <w:rPr>
          <w:i/>
          <w:iCs/>
          <w:color w:val="666666"/>
          <w:sz w:val="17"/>
          <w:szCs w:val="17"/>
          <w:lang w:val="en-US"/>
        </w:rPr>
        <w:t xml:space="preserve">20/100. The gap between Example A and Example B is almost entirely in the Action dimension. The company in Example B has governance systems — a Board Skills Review, a CPO briefing, workforce KPIs — but has described none of these in operational terms. Adding one </w:t>
      </w:r>
      <w:proofErr w:type="gramStart"/>
      <w:r w:rsidRPr="0C7824D2">
        <w:rPr>
          <w:i/>
          <w:iCs/>
          <w:color w:val="666666"/>
          <w:sz w:val="17"/>
          <w:szCs w:val="17"/>
          <w:lang w:val="en-US"/>
        </w:rPr>
        <w:t>specific named</w:t>
      </w:r>
      <w:proofErr w:type="gramEnd"/>
      <w:r w:rsidRPr="0C7824D2">
        <w:rPr>
          <w:i/>
          <w:iCs/>
          <w:color w:val="666666"/>
          <w:sz w:val="17"/>
          <w:szCs w:val="17"/>
          <w:lang w:val="en-US"/>
        </w:rPr>
        <w:t xml:space="preserve"> expertise-building activity (Q1.3) and one named </w:t>
      </w:r>
      <w:proofErr w:type="gramStart"/>
      <w:r w:rsidRPr="0C7824D2">
        <w:rPr>
          <w:i/>
          <w:iCs/>
          <w:color w:val="666666"/>
          <w:sz w:val="17"/>
          <w:szCs w:val="17"/>
          <w:lang w:val="en-US"/>
        </w:rPr>
        <w:t>KPI</w:t>
      </w:r>
      <w:proofErr w:type="gramEnd"/>
      <w:r w:rsidRPr="0C7824D2">
        <w:rPr>
          <w:i/>
          <w:iCs/>
          <w:color w:val="666666"/>
          <w:sz w:val="17"/>
          <w:szCs w:val="17"/>
          <w:lang w:val="en-US"/>
        </w:rPr>
        <w:t xml:space="preserve"> </w:t>
      </w:r>
      <w:proofErr w:type="gramStart"/>
      <w:r w:rsidRPr="0C7824D2">
        <w:rPr>
          <w:i/>
          <w:iCs/>
          <w:color w:val="666666"/>
          <w:sz w:val="17"/>
          <w:szCs w:val="17"/>
          <w:lang w:val="en-US"/>
        </w:rPr>
        <w:t>result</w:t>
      </w:r>
      <w:proofErr w:type="gramEnd"/>
      <w:r w:rsidRPr="0C7824D2">
        <w:rPr>
          <w:i/>
          <w:iCs/>
          <w:color w:val="666666"/>
          <w:sz w:val="17"/>
          <w:szCs w:val="17"/>
          <w:lang w:val="en-US"/>
        </w:rPr>
        <w:t xml:space="preserve"> </w:t>
      </w:r>
      <w:proofErr w:type="gramStart"/>
      <w:r w:rsidRPr="0C7824D2">
        <w:rPr>
          <w:i/>
          <w:iCs/>
          <w:color w:val="666666"/>
          <w:sz w:val="17"/>
          <w:szCs w:val="17"/>
          <w:lang w:val="en-US"/>
        </w:rPr>
        <w:t>with</w:t>
      </w:r>
      <w:proofErr w:type="gramEnd"/>
      <w:r w:rsidRPr="0C7824D2">
        <w:rPr>
          <w:i/>
          <w:iCs/>
          <w:color w:val="666666"/>
          <w:sz w:val="17"/>
          <w:szCs w:val="17"/>
          <w:lang w:val="en-US"/>
        </w:rPr>
        <w:t xml:space="preserve"> its compensation outcome (Q1.4 G2) would immediately lift the score substantially.</w:t>
      </w:r>
    </w:p>
    <w:sectPr w:rsidR="006437D1">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A2528" w14:textId="77777777" w:rsidR="00CE50D4" w:rsidRDefault="00CE50D4" w:rsidP="00832E4D">
      <w:r>
        <w:separator/>
      </w:r>
    </w:p>
  </w:endnote>
  <w:endnote w:type="continuationSeparator" w:id="0">
    <w:p w14:paraId="3555E3FF" w14:textId="77777777" w:rsidR="00CE50D4" w:rsidRDefault="00CE50D4" w:rsidP="0083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F0EB" w14:textId="77777777" w:rsidR="00832E4D" w:rsidRDefault="00832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44F0" w14:textId="77777777" w:rsidR="00832E4D" w:rsidRDefault="00832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0B2C" w14:textId="77777777" w:rsidR="00832E4D" w:rsidRDefault="00832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6AF6" w14:textId="77777777" w:rsidR="00CE50D4" w:rsidRDefault="00CE50D4" w:rsidP="00832E4D">
      <w:r>
        <w:separator/>
      </w:r>
    </w:p>
  </w:footnote>
  <w:footnote w:type="continuationSeparator" w:id="0">
    <w:p w14:paraId="35DC9D1E" w14:textId="77777777" w:rsidR="00CE50D4" w:rsidRDefault="00CE50D4" w:rsidP="0083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F6E79" w14:textId="77777777" w:rsidR="00832E4D" w:rsidRDefault="00832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1524907"/>
      <w:docPartObj>
        <w:docPartGallery w:val="Watermarks"/>
        <w:docPartUnique/>
      </w:docPartObj>
    </w:sdtPr>
    <w:sdtContent>
      <w:p w14:paraId="6CDB1D53" w14:textId="7415F442" w:rsidR="00832E4D" w:rsidRDefault="00832E4D">
        <w:pPr>
          <w:pStyle w:val="Header"/>
        </w:pPr>
        <w:r>
          <w:rPr>
            <w:noProof/>
          </w:rPr>
          <w:pict w14:anchorId="6397CE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2719A" w14:textId="77777777" w:rsidR="00832E4D" w:rsidRDefault="00832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873A53"/>
    <w:multiLevelType w:val="hybridMultilevel"/>
    <w:tmpl w:val="1A7A0D34"/>
    <w:lvl w:ilvl="0" w:tplc="F4644826">
      <w:start w:val="1"/>
      <w:numFmt w:val="bullet"/>
      <w:lvlText w:val="●"/>
      <w:lvlJc w:val="left"/>
      <w:pPr>
        <w:ind w:left="720" w:hanging="360"/>
      </w:pPr>
    </w:lvl>
    <w:lvl w:ilvl="1" w:tplc="3F10A28C">
      <w:start w:val="1"/>
      <w:numFmt w:val="bullet"/>
      <w:lvlText w:val="○"/>
      <w:lvlJc w:val="left"/>
      <w:pPr>
        <w:ind w:left="1440" w:hanging="360"/>
      </w:pPr>
    </w:lvl>
    <w:lvl w:ilvl="2" w:tplc="40EE5ACC">
      <w:start w:val="1"/>
      <w:numFmt w:val="bullet"/>
      <w:lvlText w:val="■"/>
      <w:lvlJc w:val="left"/>
      <w:pPr>
        <w:ind w:left="2160" w:hanging="360"/>
      </w:pPr>
    </w:lvl>
    <w:lvl w:ilvl="3" w:tplc="BD805308">
      <w:start w:val="1"/>
      <w:numFmt w:val="bullet"/>
      <w:lvlText w:val="●"/>
      <w:lvlJc w:val="left"/>
      <w:pPr>
        <w:ind w:left="2880" w:hanging="360"/>
      </w:pPr>
    </w:lvl>
    <w:lvl w:ilvl="4" w:tplc="BA746C6A">
      <w:start w:val="1"/>
      <w:numFmt w:val="bullet"/>
      <w:lvlText w:val="○"/>
      <w:lvlJc w:val="left"/>
      <w:pPr>
        <w:ind w:left="3600" w:hanging="360"/>
      </w:pPr>
    </w:lvl>
    <w:lvl w:ilvl="5" w:tplc="A48405E4">
      <w:start w:val="1"/>
      <w:numFmt w:val="bullet"/>
      <w:lvlText w:val="■"/>
      <w:lvlJc w:val="left"/>
      <w:pPr>
        <w:ind w:left="4320" w:hanging="360"/>
      </w:pPr>
    </w:lvl>
    <w:lvl w:ilvl="6" w:tplc="5A5AB132">
      <w:start w:val="1"/>
      <w:numFmt w:val="bullet"/>
      <w:lvlText w:val="●"/>
      <w:lvlJc w:val="left"/>
      <w:pPr>
        <w:ind w:left="5040" w:hanging="360"/>
      </w:pPr>
    </w:lvl>
    <w:lvl w:ilvl="7" w:tplc="6866A702">
      <w:start w:val="1"/>
      <w:numFmt w:val="bullet"/>
      <w:lvlText w:val="●"/>
      <w:lvlJc w:val="left"/>
      <w:pPr>
        <w:ind w:left="5760" w:hanging="360"/>
      </w:pPr>
    </w:lvl>
    <w:lvl w:ilvl="8" w:tplc="64DCEC86">
      <w:start w:val="1"/>
      <w:numFmt w:val="bullet"/>
      <w:lvlText w:val="●"/>
      <w:lvlJc w:val="left"/>
      <w:pPr>
        <w:ind w:left="6480" w:hanging="360"/>
      </w:pPr>
    </w:lvl>
  </w:abstractNum>
  <w:num w:numId="1" w16cid:durableId="87740224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7824D2"/>
    <w:rsid w:val="006437D1"/>
    <w:rsid w:val="00832E4D"/>
    <w:rsid w:val="00B17A4F"/>
    <w:rsid w:val="00C62A3E"/>
    <w:rsid w:val="00CE50D4"/>
    <w:rsid w:val="00F91215"/>
    <w:rsid w:val="0C7824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FBB3C"/>
  <w15:docId w15:val="{05076369-6BA3-4F27-A967-612B8CC9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832E4D"/>
    <w:pPr>
      <w:tabs>
        <w:tab w:val="center" w:pos="4513"/>
        <w:tab w:val="right" w:pos="9026"/>
      </w:tabs>
    </w:pPr>
  </w:style>
  <w:style w:type="character" w:customStyle="1" w:styleId="HeaderChar">
    <w:name w:val="Header Char"/>
    <w:basedOn w:val="DefaultParagraphFont"/>
    <w:link w:val="Header"/>
    <w:uiPriority w:val="99"/>
    <w:rsid w:val="00832E4D"/>
  </w:style>
  <w:style w:type="paragraph" w:styleId="Footer">
    <w:name w:val="footer"/>
    <w:basedOn w:val="Normal"/>
    <w:link w:val="FooterChar"/>
    <w:uiPriority w:val="99"/>
    <w:unhideWhenUsed/>
    <w:rsid w:val="00832E4D"/>
    <w:pPr>
      <w:tabs>
        <w:tab w:val="center" w:pos="4513"/>
        <w:tab w:val="right" w:pos="9026"/>
      </w:tabs>
    </w:pPr>
  </w:style>
  <w:style w:type="character" w:customStyle="1" w:styleId="FooterChar">
    <w:name w:val="Footer Char"/>
    <w:basedOn w:val="DefaultParagraphFont"/>
    <w:link w:val="Footer"/>
    <w:uiPriority w:val="99"/>
    <w:rsid w:val="00832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E7C33-13E4-4093-AB9E-30E226DA8CE9}">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9884F113-2CE2-47C9-9933-736B29DDE5A6}">
  <ds:schemaRefs>
    <ds:schemaRef ds:uri="http://schemas.microsoft.com/sharepoint/v3/contenttype/forms"/>
  </ds:schemaRefs>
</ds:datastoreItem>
</file>

<file path=customXml/itemProps3.xml><?xml version="1.0" encoding="utf-8"?>
<ds:datastoreItem xmlns:ds="http://schemas.openxmlformats.org/officeDocument/2006/customXml" ds:itemID="{F00FCF06-4213-49C2-823B-33F769080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3245</Words>
  <Characters>18497</Characters>
  <Application>Microsoft Office Word</Application>
  <DocSecurity>0</DocSecurity>
  <Lines>154</Lines>
  <Paragraphs>43</Paragraphs>
  <ScaleCrop>false</ScaleCrop>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5</cp:revision>
  <dcterms:created xsi:type="dcterms:W3CDTF">2026-07-09T07:11:00Z</dcterms:created>
  <dcterms:modified xsi:type="dcterms:W3CDTF">2026-07-14T06:40:00Z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